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70FB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D35644">
              <w:rPr>
                <w:rFonts w:ascii="Times New Roman" w:hAnsi="Times New Roman" w:cs="Times New Roman"/>
              </w:rPr>
              <w:t xml:space="preserve"> Şubat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 w:rsidR="00D35644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FA3224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3224">
              <w:rPr>
                <w:rStyle w:val="fontstyle01"/>
                <w:sz w:val="22"/>
                <w:szCs w:val="22"/>
              </w:rPr>
              <w:t>AB.1.2.7. Türkiye’de sel ve taşkın riski yüksek olan yerler hakkında çıkarımlarda bulunur.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4" w:rsidRPr="00FA3224" w:rsidRDefault="00E270D8" w:rsidP="00FA3224">
            <w:pPr>
              <w:pStyle w:val="NormalWeb"/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FA3224">
              <w:t xml:space="preserve"> </w:t>
            </w:r>
            <w:r w:rsidR="00FA3224" w:rsidRPr="00FA3224">
              <w:t>Türkiye'de sel ve taşkın riski yüksek olan yerler, coğrafi konumları, iklim koşulları ve insan faaliyetleri gibi çeşitli faktörlerden etkilenmektedir. Genel olarak, aşağıdaki bölgelerde sel ve taşkın riski daha yüksektir: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Karadeniz Bölgesi:</w:t>
            </w:r>
          </w:p>
          <w:p w:rsidR="00FA3224" w:rsidRPr="00FA3224" w:rsidRDefault="00FA3224" w:rsidP="00FA322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yağış miktarı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Eğimli araziler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dar ve derin olması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Hızlı akarsu akışı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Plansız kentleşme ve yapılaşma</w:t>
            </w:r>
          </w:p>
          <w:p w:rsidR="00FA3224" w:rsidRPr="00FA3224" w:rsidRDefault="00FA3224" w:rsidP="00FA322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 Rize, Trabzon, Giresun, Artvin gibi Doğu Karadeniz illeri.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Marmara Bölgesi:</w:t>
            </w:r>
          </w:p>
          <w:p w:rsidR="00FA3224" w:rsidRPr="00FA3224" w:rsidRDefault="00FA3224" w:rsidP="00FA322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kentleşme ve betonlaşma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Drenaj sistemlerinin yetersizliği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 ve şiddetli yağışlar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yataklarına yapılan yapılaşmalar</w:t>
            </w:r>
          </w:p>
          <w:p w:rsidR="00FA3224" w:rsidRPr="00FA3224" w:rsidRDefault="00FA3224" w:rsidP="00FA322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 İstanbul, Kocaeli, Bursa gibi büyük şehirler ve çevresi.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Akdeniz Bölgesi:</w:t>
            </w:r>
          </w:p>
          <w:p w:rsidR="00FA3224" w:rsidRPr="00FA3224" w:rsidRDefault="00FA3224" w:rsidP="00FA322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 ve şiddetli sağanak yağışlar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 yangınları sonucu toprak yapısının bozulması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yanlış kullanımı</w:t>
            </w:r>
          </w:p>
          <w:p w:rsidR="00FA3224" w:rsidRPr="00FA3224" w:rsidRDefault="00FA3224" w:rsidP="00FA322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Antalya, Mersin, Adana gibi kıyı şehirleri ve çevresi.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4. Ege Bölgesi:</w:t>
            </w:r>
          </w:p>
          <w:p w:rsidR="00FA3224" w:rsidRPr="00FA3224" w:rsidRDefault="00FA3224" w:rsidP="00FA322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Akdenize benzer şekilde ani ve şiddetli sağanak yağışlar</w:t>
            </w:r>
          </w:p>
          <w:p w:rsidR="00FA3224" w:rsidRPr="00FA3224" w:rsidRDefault="00FA3224" w:rsidP="00FA3224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yanlış kullanımı</w:t>
            </w:r>
          </w:p>
          <w:p w:rsidR="00FA3224" w:rsidRPr="00FA3224" w:rsidRDefault="00FA3224" w:rsidP="00FA322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İzmir ve çevre iller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Faktörler: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İklim Değişikliği: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İklim değişikliği, aşırı hava olaylarının sıklığını ve şiddetini artırarak sel ve taşkın riskini de artırmaktadır.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Plansız Kentleşme: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Dere yataklarına ve taşkın ovalarına yapılan yapılaşmalar, sel riskini önemli ölçüde artırmaktadır.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Orman Yangınları: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Orman yangınları, toprak yapısını bozarak yağmur sularının emilimini azaltmakta ve sel riskini artırmaktadır.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Önlemler: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temizlenmesi ve düzenlenmesi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Drenaj sistemlerinin iyileştirilmesi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Taşkın bariyerlerinin inşa edilmesi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Plansız kentleşmenin önlenmesi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Ormanların korunması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Erken uyarı sistemlerinin kurulması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Halkın bilinçlendirilmesi</w:t>
            </w:r>
          </w:p>
          <w:p w:rsidR="00C16AB8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Türkiye'de sel ve taşkın riskinin azaltılması için bu önlemlerin alınması ve sürdürülebilir bir su yönetimi politikası izlenmesi büyük önem taşımaktadır.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FA3224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Türkiye’de sel ve taşkın riski yüksek olan yerler</w:t>
            </w:r>
            <w:r w:rsidR="00FA3224">
              <w:rPr>
                <w:b/>
                <w:sz w:val="20"/>
                <w:szCs w:val="20"/>
              </w:rPr>
              <w:t xml:space="preserve"> </w:t>
            </w:r>
            <w:r w:rsidR="00340A66">
              <w:rPr>
                <w:rStyle w:val="fontstyle01"/>
                <w:sz w:val="22"/>
                <w:szCs w:val="22"/>
              </w:rPr>
              <w:t>ne</w:t>
            </w:r>
            <w:r w:rsidR="00FA3224">
              <w:rPr>
                <w:rStyle w:val="fontstyle01"/>
                <w:sz w:val="22"/>
                <w:szCs w:val="22"/>
              </w:rPr>
              <w:t>re</w:t>
            </w:r>
            <w:r w:rsidR="00340A66">
              <w:rPr>
                <w:rStyle w:val="fontstyle01"/>
                <w:sz w:val="22"/>
                <w:szCs w:val="22"/>
              </w:rPr>
              <w:t>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D90"/>
    <w:multiLevelType w:val="multilevel"/>
    <w:tmpl w:val="121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95D78"/>
    <w:multiLevelType w:val="multilevel"/>
    <w:tmpl w:val="2D7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0DCD"/>
    <w:multiLevelType w:val="multilevel"/>
    <w:tmpl w:val="30A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96FC2"/>
    <w:multiLevelType w:val="multilevel"/>
    <w:tmpl w:val="44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104145"/>
    <w:multiLevelType w:val="multilevel"/>
    <w:tmpl w:val="4DE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1311A"/>
    <w:multiLevelType w:val="multilevel"/>
    <w:tmpl w:val="DE6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9"/>
  </w:num>
  <w:num w:numId="3">
    <w:abstractNumId w:val="33"/>
  </w:num>
  <w:num w:numId="4">
    <w:abstractNumId w:val="28"/>
  </w:num>
  <w:num w:numId="5">
    <w:abstractNumId w:val="4"/>
  </w:num>
  <w:num w:numId="6">
    <w:abstractNumId w:val="5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7"/>
  </w:num>
  <w:num w:numId="12">
    <w:abstractNumId w:val="12"/>
  </w:num>
  <w:num w:numId="13">
    <w:abstractNumId w:val="42"/>
  </w:num>
  <w:num w:numId="14">
    <w:abstractNumId w:val="34"/>
  </w:num>
  <w:num w:numId="15">
    <w:abstractNumId w:val="22"/>
  </w:num>
  <w:num w:numId="16">
    <w:abstractNumId w:val="31"/>
  </w:num>
  <w:num w:numId="17">
    <w:abstractNumId w:val="9"/>
  </w:num>
  <w:num w:numId="18">
    <w:abstractNumId w:val="3"/>
  </w:num>
  <w:num w:numId="19">
    <w:abstractNumId w:val="35"/>
  </w:num>
  <w:num w:numId="20">
    <w:abstractNumId w:val="41"/>
  </w:num>
  <w:num w:numId="21">
    <w:abstractNumId w:val="2"/>
  </w:num>
  <w:num w:numId="22">
    <w:abstractNumId w:val="29"/>
  </w:num>
  <w:num w:numId="23">
    <w:abstractNumId w:val="32"/>
  </w:num>
  <w:num w:numId="24">
    <w:abstractNumId w:val="23"/>
  </w:num>
  <w:num w:numId="25">
    <w:abstractNumId w:val="8"/>
  </w:num>
  <w:num w:numId="26">
    <w:abstractNumId w:val="10"/>
  </w:num>
  <w:num w:numId="27">
    <w:abstractNumId w:val="43"/>
  </w:num>
  <w:num w:numId="28">
    <w:abstractNumId w:val="36"/>
  </w:num>
  <w:num w:numId="29">
    <w:abstractNumId w:val="1"/>
  </w:num>
  <w:num w:numId="30">
    <w:abstractNumId w:val="37"/>
  </w:num>
  <w:num w:numId="31">
    <w:abstractNumId w:val="27"/>
  </w:num>
  <w:num w:numId="32">
    <w:abstractNumId w:val="14"/>
  </w:num>
  <w:num w:numId="33">
    <w:abstractNumId w:val="17"/>
  </w:num>
  <w:num w:numId="34">
    <w:abstractNumId w:val="38"/>
  </w:num>
  <w:num w:numId="35">
    <w:abstractNumId w:val="25"/>
  </w:num>
  <w:num w:numId="36">
    <w:abstractNumId w:val="24"/>
  </w:num>
  <w:num w:numId="37">
    <w:abstractNumId w:val="6"/>
  </w:num>
  <w:num w:numId="38">
    <w:abstractNumId w:val="26"/>
  </w:num>
  <w:num w:numId="39">
    <w:abstractNumId w:val="40"/>
  </w:num>
  <w:num w:numId="40">
    <w:abstractNumId w:val="16"/>
  </w:num>
  <w:num w:numId="41">
    <w:abstractNumId w:val="18"/>
  </w:num>
  <w:num w:numId="42">
    <w:abstractNumId w:val="13"/>
  </w:num>
  <w:num w:numId="43">
    <w:abstractNumId w:val="45"/>
  </w:num>
  <w:num w:numId="44">
    <w:abstractNumId w:val="19"/>
  </w:num>
  <w:num w:numId="45">
    <w:abstractNumId w:val="30"/>
  </w:num>
  <w:num w:numId="46">
    <w:abstractNumId w:val="0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0FB4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02A47"/>
    <w:rsid w:val="00A23729"/>
    <w:rsid w:val="00A27BBA"/>
    <w:rsid w:val="00A33E13"/>
    <w:rsid w:val="00A35CFD"/>
    <w:rsid w:val="00A62214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5644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2026-02-21T00:58:00Z</dcterms:created>
  <dcterms:modified xsi:type="dcterms:W3CDTF">2026-02-21T00:58:00Z</dcterms:modified>
</cp:coreProperties>
</file>