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20F27">
        <w:rPr>
          <w:rFonts w:ascii="Times New Roman" w:hAnsi="Times New Roman" w:cs="Times New Roman"/>
          <w:sz w:val="24"/>
          <w:szCs w:val="24"/>
        </w:rPr>
        <w:t>20</w:t>
      </w:r>
      <w:r w:rsidR="00B35A16">
        <w:rPr>
          <w:rFonts w:ascii="Times New Roman" w:hAnsi="Times New Roman" w:cs="Times New Roman"/>
          <w:sz w:val="24"/>
          <w:szCs w:val="24"/>
        </w:rPr>
        <w:t>-21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B35A16">
        <w:rPr>
          <w:rFonts w:ascii="Times New Roman" w:hAnsi="Times New Roman" w:cs="Times New Roman"/>
          <w:sz w:val="24"/>
          <w:szCs w:val="24"/>
        </w:rPr>
        <w:t>9-20</w:t>
      </w:r>
      <w:r w:rsidR="00C65564">
        <w:rPr>
          <w:rFonts w:ascii="Times New Roman" w:hAnsi="Times New Roman" w:cs="Times New Roman"/>
          <w:sz w:val="24"/>
          <w:szCs w:val="24"/>
        </w:rPr>
        <w:t xml:space="preserve"> ŞUBAT</w:t>
      </w:r>
      <w:r w:rsidR="00B35A16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C122EE" w:rsidP="002F33FB">
            <w:r w:rsidRPr="00C122EE">
              <w:rPr>
                <w:rStyle w:val="fontstyle01"/>
                <w:sz w:val="22"/>
                <w:szCs w:val="22"/>
              </w:rPr>
              <w:t>DEMOKRAS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 xml:space="preserve"> VE CUMHUR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YET KAVRAMININ TEMEL N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TEL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KLER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FC0F9E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9-20</w:t>
            </w:r>
            <w:r w:rsidR="00C65564">
              <w:rPr>
                <w:rFonts w:ascii="Times New Roman" w:hAnsi="Times New Roman" w:cs="Times New Roman"/>
              </w:rPr>
              <w:t xml:space="preserve"> Şubat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122EE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122EE" w:rsidRDefault="00C122EE" w:rsidP="00C122E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Cumhuriyet, demokrasi, milli egemenlik, katılım, çoğulculuk, hukukun üstünlüğü</w:t>
            </w: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907AF" w:rsidRPr="001907AF" w:rsidRDefault="001907AF">
            <w:r w:rsidRPr="001907AF">
              <w:rPr>
                <w:rStyle w:val="fontstyle01"/>
                <w:b/>
                <w:sz w:val="22"/>
                <w:szCs w:val="22"/>
              </w:rPr>
              <w:t>SB.5.4.1. Demokrasi ve cumhuriyet kavramları arasındaki ilişkiyi çözümleyebilme</w:t>
            </w:r>
            <w:r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FA425E">
              <w:rPr>
                <w:rStyle w:val="fontstyle21"/>
              </w:rPr>
              <w:t>a</w:t>
            </w:r>
            <w:proofErr w:type="gramStart"/>
            <w:r w:rsidRPr="00FA425E">
              <w:rPr>
                <w:rStyle w:val="fontstyle21"/>
              </w:rPr>
              <w:t>)</w:t>
            </w:r>
            <w:proofErr w:type="gramEnd"/>
            <w:r w:rsidRPr="00FA425E">
              <w:rPr>
                <w:rStyle w:val="fontstyle21"/>
              </w:rPr>
              <w:t xml:space="preserve"> Demokrasi ve cumhuriyet kavramlarının niteliklerini belirler.</w:t>
            </w:r>
            <w:r w:rsidRPr="00FA425E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FA425E">
              <w:rPr>
                <w:rStyle w:val="fontstyle21"/>
              </w:rPr>
              <w:t>b) Demokrasi ve cumhuriyet kavramları arasındaki ilişkiyi belirler.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1907A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907AF" w:rsidRDefault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KB2.4. Çözümleme (SB.5.4.1)</w:t>
            </w:r>
          </w:p>
        </w:tc>
      </w:tr>
      <w:tr w:rsidR="001907A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907AF" w:rsidRPr="00DC5D4C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E1.1. Merak,  E3.3. Yaratıcılık</w:t>
            </w:r>
          </w:p>
        </w:tc>
      </w:tr>
      <w:tr w:rsidR="001907A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D1. Adalet, D19. Vatanseverlik, 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Pr="00130F06" w:rsidRDefault="001907AF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Pr="00B80F7E" w:rsidRDefault="001907AF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D05B9E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demokrasi, cumhuriyet, vatandaşlık, temel hak ve özgürlükler kavramları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ile ilişkili kelimeler bulmaları istenerek kelime bulutları yapılacak ve panoya asılacak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evde, okulda, yaşadıkları ilde demokratik hayat ile ilgili açık uçlu sorular sorulacak. Ailesinde ve okulda yer aldığı demokratik katılım süreçlerine örnekler vermeleri sağlanacak.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07AF" w:rsidRPr="00D05B9E" w:rsidRDefault="001907A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07AF">
              <w:rPr>
                <w:rFonts w:ascii="Barlow-Light" w:hAnsi="Barlow-Light"/>
                <w:color w:val="242021"/>
                <w:sz w:val="20"/>
              </w:rPr>
              <w:t>Öğrencilerin evde, okulda, yaşadığı şehirde demokrasi ile ilişkilendirilebilecek davranış ve uygulamalar hakkında konuyla ilgili gözlemler yapmaları, elde ettikleri verileri düzenleyerek sonuçları sınıfta paylaşmaları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Sınıf başkanı seçimi, yerel seçimler, dilekçe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gibi demokrasinin günlük hayata yansımalarına dair örnekler verilir, öğrencilerin de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vermeleri teşvik edilecek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lastRenderedPageBreak/>
              <w:t>Bu süreçte insanların hak ve özgürlüklerini bilmesinin ve korumasının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önemi üzerinden adalet ile ilgili açıklamalar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Öğrencilerin demokrasinin temel niteliklerinden özgürlük, eşitlik, seçme ve seçilme hakkı, millî egemenlik, katılım, çoğulculuk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hukukun üstünlüğünü fark etmelerini sağlamak </w:t>
            </w:r>
            <w:r>
              <w:rPr>
                <w:rFonts w:ascii="Barlow-Light" w:hAnsi="Barlow-Light"/>
                <w:color w:val="242021"/>
                <w:sz w:val="20"/>
              </w:rPr>
              <w:t>için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yazılı ve görsel kaynaklar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Verilen örnekler, kaynakların incelenmesi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ve yapılan gözlemlerden hareketle öğrencilerden demokrasinin niteliklerini belirlemeleri, yazılı ve sözlü olarak 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Öğrencilerin cumhuriyet ile ilgili verilen görselleri inceleyerek</w:t>
            </w:r>
            <w:r w:rsidRPr="001E383E">
              <w:rPr>
                <w:rFonts w:ascii="Barlow-Medium" w:hAnsi="Barlow-Medium"/>
                <w:color w:val="242021"/>
                <w:sz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cumhuriyetin özellikleri hakkında tahminlerde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Öğretmen tarafından yapılan açıklama ve verilen örneklerden hareketle öğrencilerin cumhuriyet kavramının niteliklerini belirleye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rek örneklendirmeleri sağlanacak.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Cumhuriyeti korumak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sürdürmek </w:t>
            </w:r>
            <w:r>
              <w:rPr>
                <w:rFonts w:ascii="Barlow-Light" w:hAnsi="Barlow-Light"/>
                <w:color w:val="242021"/>
                <w:sz w:val="20"/>
              </w:rPr>
              <w:t>için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millî bilinç sahibi olmanın önemi açıklanarak vatanseverlik değeri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durul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Frayer modeli kullanılarak öğrencilerden cumhuriyet kavramının tanımı, özellikleri, örnekler ve örnek olmayan durumlara ilişkin bilgileri beş bölüme ayrılmış kâğıt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düzenlemeleri ve arkadaşları ile paylaşmaları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Cumhuriyet ve demokrasi kavramlarının yazılı olduğu kartlar öğrencilere sırasıyla dağıtılarak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kelime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ilişkilendirme testi uygulanacak.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Kartlara yazılan sözcükler “cumhuriyet ile ilgili olanlar”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“demokrasi ile ilgili ol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anlar” şeklinde sınıﬂandırılacak.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Yapılan sınıﬂandırmadan hareketle öğrencilerden cumhuriyet ve demokrasi kavramları arasındaki ilişkiyi gösteren yazılı veya görsel bir</w:t>
            </w:r>
            <w:r w:rsidRPr="001E383E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1E383E">
              <w:rPr>
                <w:rFonts w:ascii="Barlow-Light" w:hAnsi="Barlow-Light"/>
                <w:color w:val="242021"/>
                <w:sz w:val="20"/>
              </w:rPr>
              <w:t>ürün tasarlamaları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</w:t>
            </w:r>
            <w:r w:rsidR="00D62538">
              <w:rPr>
                <w:rFonts w:ascii="Barlow-Light" w:hAnsi="Barlow-Light"/>
                <w:color w:val="242021"/>
                <w:sz w:val="20"/>
              </w:rPr>
              <w:t>s kitabındaki metinler okunacak, sayfa 12</w:t>
            </w:r>
            <w:r w:rsidR="00D62538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D62538">
              <w:rPr>
                <w:rFonts w:ascii="Barlow-Light" w:hAnsi="Barlow-Light"/>
                <w:color w:val="242021"/>
                <w:sz w:val="20"/>
              </w:rPr>
              <w:t xml:space="preserve">deki Düşünelim,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sayfa 13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teki Keşfedelim etkinliği yapılacak.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17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Demokrasinin nitelikleri videosu EBA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dan izlenecek.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20’deki Cumhuriyet etkinliği yapılacak.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21’deki Kelime İlişkilendirme etkinliği yapılacak.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22’deki Demokrasi ve Cumhuriyet etkinliği yapılacak</w:t>
            </w:r>
          </w:p>
          <w:p w:rsidR="00B05104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23’teki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Bulmaca etkinliği yapılacak.</w:t>
            </w:r>
          </w:p>
        </w:tc>
      </w:tr>
      <w:tr w:rsidR="00D05B9E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62538" w:rsidRDefault="00D05B9E" w:rsidP="00FA425E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</w:p>
          <w:p w:rsidR="00D05B9E" w:rsidRPr="00D62538" w:rsidRDefault="00D62538" w:rsidP="00D6253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Evde, okulda, ülkede demokrasiye yönelik yaratıcı drama etkinlikleri yapılabilir. Cumhuriyet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konulu şiir dinletisi düzenlenebilir. Cumhuriyet konulu resim, fotoğraf, afiş ve posterler hazırlanarak sergilenebilir.</w:t>
            </w:r>
          </w:p>
        </w:tc>
      </w:tr>
      <w:tr w:rsidR="00FA425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B35A16" w:rsidP="00B35A1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Demokrasi ve cumhuriyet kavramları ile ilgili görseller kullanılarak akran desteği ile </w:t>
            </w:r>
            <w:proofErr w:type="gramStart"/>
            <w:r>
              <w:rPr>
                <w:rStyle w:val="fontstyle01"/>
              </w:rPr>
              <w:t>kolaj</w:t>
            </w:r>
            <w:proofErr w:type="gramEnd"/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çalışması yapılabilir.</w:t>
            </w:r>
          </w:p>
        </w:tc>
      </w:tr>
      <w:tr w:rsidR="00FA425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Pr="0084435C" w:rsidRDefault="00FA425E" w:rsidP="00BD315E">
            <w:pPr>
              <w:rPr>
                <w:sz w:val="20"/>
                <w:szCs w:val="20"/>
              </w:rPr>
            </w:pPr>
          </w:p>
        </w:tc>
      </w:tr>
      <w:tr w:rsidR="00FA425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FA425E" w:rsidP="00FA425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Frayer Modeli, kelime ilişkilendirme testi, doğru-yanlış testleri ve tanılayıcı dallanmış ağaç teknikleri</w:t>
            </w:r>
          </w:p>
          <w:p w:rsidR="00FA425E" w:rsidRPr="00B80F7E" w:rsidRDefault="00FA425E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FA425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Pr="00DC5D58" w:rsidRDefault="00FA425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1E383E">
        <w:rPr>
          <w:rFonts w:ascii="Times New Roman" w:hAnsi="Times New Roman" w:cs="Times New Roman"/>
        </w:rPr>
        <w:t>0</w:t>
      </w:r>
      <w:r w:rsidR="00FC0F9E">
        <w:rPr>
          <w:rFonts w:ascii="Times New Roman" w:hAnsi="Times New Roman" w:cs="Times New Roman"/>
        </w:rPr>
        <w:t>9</w:t>
      </w:r>
      <w:r w:rsidR="00BD315E">
        <w:rPr>
          <w:rFonts w:ascii="Times New Roman" w:hAnsi="Times New Roman" w:cs="Times New Roman"/>
        </w:rPr>
        <w:t>/</w:t>
      </w:r>
      <w:r w:rsidR="00D47DB6">
        <w:rPr>
          <w:rFonts w:ascii="Times New Roman" w:hAnsi="Times New Roman" w:cs="Times New Roman"/>
        </w:rPr>
        <w:t>02/</w:t>
      </w:r>
      <w:r w:rsidR="00FC0F9E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60749"/>
    <w:rsid w:val="00496E99"/>
    <w:rsid w:val="004F03DD"/>
    <w:rsid w:val="005237BC"/>
    <w:rsid w:val="005542C2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E7606"/>
    <w:rsid w:val="00A04976"/>
    <w:rsid w:val="00A43578"/>
    <w:rsid w:val="00AC15F1"/>
    <w:rsid w:val="00B05104"/>
    <w:rsid w:val="00B35A16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F642B"/>
    <w:rsid w:val="00D05B9E"/>
    <w:rsid w:val="00D47DB6"/>
    <w:rsid w:val="00D62538"/>
    <w:rsid w:val="00DB5095"/>
    <w:rsid w:val="00DC5D4C"/>
    <w:rsid w:val="00DC5D58"/>
    <w:rsid w:val="00DE075C"/>
    <w:rsid w:val="00E32C98"/>
    <w:rsid w:val="00E46664"/>
    <w:rsid w:val="00E508DC"/>
    <w:rsid w:val="00E76BF0"/>
    <w:rsid w:val="00F4484F"/>
    <w:rsid w:val="00F6182E"/>
    <w:rsid w:val="00FA425E"/>
    <w:rsid w:val="00FB067E"/>
    <w:rsid w:val="00FC0F9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2026-02-07T17:43:00Z</dcterms:created>
  <dcterms:modified xsi:type="dcterms:W3CDTF">2026-02-07T17:43:00Z</dcterms:modified>
</cp:coreProperties>
</file>