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A23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00FBA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00FBA">
              <w:rPr>
                <w:rFonts w:ascii="Times New Roman" w:hAnsi="Times New Roman" w:cs="Times New Roman"/>
              </w:rPr>
              <w:t>BİLİM, SANAT VE SPORDA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56F32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3-7 Mart </w:t>
            </w:r>
            <w:r w:rsidR="00EA1539">
              <w:rPr>
                <w:rFonts w:ascii="Times New Roman" w:hAnsi="Times New Roman" w:cs="Times New Roman"/>
              </w:rPr>
              <w:t>Şubat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00FB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FBA">
              <w:rPr>
                <w:rFonts w:ascii="Times New Roman" w:eastAsia="Arial" w:hAnsi="Times New Roman" w:cs="Times New Roman"/>
                <w:b/>
              </w:rPr>
              <w:t>AYE.1.4.3. Bilim, sanat ve spor alanlarında geçerli olan ahlaki kuralları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0E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Bilim, sanat ve spor; bireylerin farklı yönlerini sergileyebildikleri,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toplumsal hayatı zenginleştiren alanlardır. Her birinin farklı çalışma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ilkeleri ve ahlaki sorumlulukları vardır. Bu ilkeler ve sorumluluklar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doğrultusunda disiplinli bir şekilde çalışmak bireyleri başarıya ulaştırır.</w:t>
            </w:r>
          </w:p>
          <w:p w:rsid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Bilim; evrenin veya olayların bir bölümünü konu olarak seçen,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deneye dayanan yöntemler ve gerçeklikten yararlanarak sonuç çıkarmaya çalışan düzenli bilgilerdir. Bilgiye ulaşmak için yapılan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çalışmalar; ahlaki ilkeler göz önünde bulundurularak yapılmalı, toplumun ortak faydasına hizmet etmelidir.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Bilimsel çalışmalar yaparken alınması gereken ahlaki sorumluluklardan bazıları şunlardır: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Konu seçiminde doğa ve canlıların sahip oldukları hakların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gözetilmesi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Doğanın ve canlıların yaşam alanları korunmalıdır.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Etkiler önceden değerlendirilmeli, olası olumsuz sonuçlar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en aza indirgenmelidir.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Deneylerde hayvanlar kullanılırken etik standartlara uyulmalıdır.</w:t>
            </w:r>
          </w:p>
          <w:p w:rsidR="00B00FBA" w:rsidRP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Gerekli izinlerin alınması ve verilerin izinsiz paylaşılmaması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Belirli bir alan, canlı türü veya topluluk üzerine yapılan bilimsel çalışmalarda yasal izinlerin alınması bir zorunluluktur.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Çalışmalar sırasında ve sonrasında edinilen verilerin paylaşılmasında gerekli izinler alınmalıdır.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Kaynak gösterimi ve intihal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Bilimsel çalışmalarda kullanılan bilgi ve bulguların kaynakları belirtilmelidir.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"Başkalarının yazı veya fikirlerini kendisininmiş gibi gösterme" olarak tanımlanan intihalden kaçınılmalıdır.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B00FBA" w:rsidRPr="00B00FBA">
              <w:rPr>
                <w:rFonts w:ascii="Times New Roman" w:eastAsia="Arial" w:hAnsi="Times New Roman" w:cs="Times New Roman"/>
                <w:b/>
              </w:rPr>
              <w:t xml:space="preserve"> Bilim, sanat ve spor alanlarınd</w:t>
            </w:r>
            <w:r w:rsidR="00B00FBA">
              <w:rPr>
                <w:rFonts w:ascii="Times New Roman" w:eastAsia="Arial" w:hAnsi="Times New Roman" w:cs="Times New Roman"/>
                <w:b/>
              </w:rPr>
              <w:t xml:space="preserve">a geçerli olan ahlaki kurallar </w:t>
            </w:r>
            <w:r w:rsidR="001A23F6">
              <w:rPr>
                <w:rFonts w:ascii="Times New Roman" w:hAnsi="Times New Roman" w:cs="Times New Roman"/>
              </w:rPr>
              <w:t>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8868-40F5-4145-9B05-476A5B9C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2025-03-01T12:47:00Z</dcterms:created>
  <dcterms:modified xsi:type="dcterms:W3CDTF">2025-03-01T12:47:00Z</dcterms:modified>
</cp:coreProperties>
</file>