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5C49B1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C49B1">
              <w:rPr>
                <w:rFonts w:ascii="Times New Roman" w:hAnsi="Times New Roman" w:cs="Times New Roman"/>
                <w:sz w:val="24"/>
                <w:szCs w:val="24"/>
              </w:rPr>
              <w:t>MONDROS ATEŞKES ANTLAŞMASI’NIN İMZALANMASI VE UYGULANMASI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583AA5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21-27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5C49B1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C49B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İTA.8.2.3. Mondros Ateşkes Antlaşması’nın imzalanması ve uygulanması karşısında Osmanlı yönetiminin, Mustafa Kemal’in ve halkın tutumunu analiz eder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AF095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Savaşının sonuçlarına değinilecek</w:t>
            </w:r>
            <w:r w:rsidR="00D71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880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 ilkelerine vurgu yapılacak.</w:t>
            </w:r>
          </w:p>
          <w:p w:rsid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Antlaşmasının önemli maddeleri yorumlanacak.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3BE8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İşgaller harita üzerinde gösterilecek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İşgallere tepkiler yorumlanacak.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Mondros Ateşkes Antlaşmasının imzalanmasında etkili olan faktörler nelerdir?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BA">
              <w:t xml:space="preserve"> 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Mondros Ateşkes Antlaşmasından sonra işgal edilen yerler nerelerdir?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Mustafa Kemal’in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işgallere karşı tutumu nasıldır?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F0959">
        <w:rPr>
          <w:rFonts w:ascii="Times New Roman" w:hAnsi="Times New Roman" w:cs="Times New Roman"/>
        </w:rPr>
        <w:t xml:space="preserve">         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="00AF0959"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83AA5"/>
    <w:rsid w:val="00593FFF"/>
    <w:rsid w:val="005B502D"/>
    <w:rsid w:val="005C091A"/>
    <w:rsid w:val="005C49B1"/>
    <w:rsid w:val="005D1656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7429D"/>
    <w:rsid w:val="008762B7"/>
    <w:rsid w:val="00894491"/>
    <w:rsid w:val="00896C88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F0959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709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9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2024-12-01T08:50:00Z</dcterms:created>
  <dcterms:modified xsi:type="dcterms:W3CDTF">2024-12-01T08:50:00Z</dcterms:modified>
</cp:coreProperties>
</file>