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D3B97" w:rsidRDefault="000C2AF0" w:rsidP="008D3B9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0C2AF0">
              <w:rPr>
                <w:rFonts w:ascii="Times New Roman" w:hAnsi="Times New Roman" w:cs="Times New Roman"/>
              </w:rPr>
              <w:t>MİLLÎ MÜCADELE DÖNEMİ’NDE BATI CEPHESİ</w:t>
            </w:r>
            <w:bookmarkStart w:id="0" w:name="_GoBack"/>
            <w:bookmarkEnd w:id="0"/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8D3B9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4A4C27" w:rsidRPr="00140641">
              <w:rPr>
                <w:rFonts w:ascii="Times New Roman" w:hAnsi="Times New Roman" w:cs="Times New Roman"/>
              </w:rPr>
              <w:t xml:space="preserve"> Aralık</w:t>
            </w:r>
            <w:r w:rsidR="008A0838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951BA4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A680A" w:rsidP="00D47FD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A680A">
              <w:rPr>
                <w:rFonts w:ascii="Times New Roman" w:eastAsia="Arial" w:hAnsi="Times New Roman" w:cs="Times New Roman"/>
                <w:b/>
              </w:rPr>
              <w:t>İTA.8.3.2. Millî Mücadele Dönemi’nde Batı Cephesi’nde meydana gelen gelişmeleri kavrar.</w:t>
            </w:r>
          </w:p>
        </w:tc>
      </w:tr>
      <w:tr w:rsidR="00AB1558" w:rsidRPr="00140641" w:rsidTr="00951BA4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8A083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FF37A9">
              <w:rPr>
                <w:rFonts w:ascii="Times New Roman" w:eastAsia="Times New Roman" w:hAnsi="Times New Roman" w:cs="Times New Roman"/>
                <w:i/>
              </w:rPr>
              <w:t>S</w:t>
            </w:r>
            <w:r w:rsidR="00FF37A9" w:rsidRPr="00FF37A9">
              <w:rPr>
                <w:rFonts w:ascii="Times New Roman" w:eastAsia="Times New Roman" w:hAnsi="Times New Roman" w:cs="Times New Roman"/>
                <w:i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277E75" w:rsidRDefault="000C2AF0" w:rsidP="000C2AF0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C2AF0">
              <w:rPr>
                <w:rFonts w:ascii="Times New Roman" w:hAnsi="Times New Roman" w:cs="Times New Roman"/>
                <w:b/>
                <w:iCs/>
              </w:rPr>
              <w:t>1-Batı Cephesi’nde ha</w:t>
            </w:r>
            <w:r>
              <w:rPr>
                <w:rFonts w:ascii="Times New Roman" w:hAnsi="Times New Roman" w:cs="Times New Roman"/>
                <w:b/>
                <w:iCs/>
              </w:rPr>
              <w:t>ngi devlete karşı savaşılmıştır</w:t>
            </w:r>
            <w:r w:rsidR="00277E75" w:rsidRPr="00277E75">
              <w:rPr>
                <w:rFonts w:ascii="Times New Roman" w:hAnsi="Times New Roman" w:cs="Times New Roman"/>
                <w:b/>
                <w:iCs/>
              </w:rPr>
              <w:t xml:space="preserve">? </w:t>
            </w:r>
            <w:r w:rsidR="00277E75" w:rsidRPr="00277E75">
              <w:rPr>
                <w:rFonts w:ascii="Times New Roman" w:hAnsi="Times New Roman" w:cs="Times New Roman"/>
                <w:iCs/>
              </w:rPr>
              <w:t>sorusu sorulur, gelen cevaplar genişletilerek konuya geçilir.</w:t>
            </w:r>
          </w:p>
          <w:p w:rsidR="00277E75" w:rsidRPr="00277E75" w:rsidRDefault="00277E75" w:rsidP="00277E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277E75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927C3D">
              <w:rPr>
                <w:rFonts w:ascii="Times New Roman" w:hAnsi="Times New Roman" w:cs="Times New Roman"/>
                <w:b/>
                <w:iCs/>
              </w:rPr>
              <w:t>Kuvâyı</w:t>
            </w:r>
            <w:proofErr w:type="spellEnd"/>
            <w:r w:rsidRPr="00927C3D">
              <w:rPr>
                <w:rFonts w:ascii="Times New Roman" w:hAnsi="Times New Roman" w:cs="Times New Roman"/>
                <w:b/>
                <w:iCs/>
              </w:rPr>
              <w:t xml:space="preserve"> Millîye birliklerinin faaliyetleri ve düzenli ordunun kurulma süreci ele alınır.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27C3D">
              <w:rPr>
                <w:rFonts w:ascii="Times New Roman" w:hAnsi="Times New Roman" w:cs="Times New Roman"/>
                <w:b/>
                <w:iCs/>
              </w:rPr>
              <w:t>I. İnönü ve II. İnönü Muharebeleri ile Kütahya-Eskişehir Muharebeleri ele alınır.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27C3D">
              <w:rPr>
                <w:rFonts w:ascii="Times New Roman" w:hAnsi="Times New Roman" w:cs="Times New Roman"/>
                <w:b/>
                <w:iCs/>
              </w:rPr>
              <w:t>Teşkilat-ı Esasiye Kanunu’nun kabul edilmesi, Londra Konferansı, Afganistan ile Dostluk Antlaşması, İstiklal Marşı’nın kabul edilmesi ve Moskova Antlaşması’na değinilir.</w:t>
            </w:r>
          </w:p>
          <w:p w:rsidR="00277E75" w:rsidRDefault="00277E75" w:rsidP="0027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27C3D">
              <w:rPr>
                <w:rFonts w:ascii="Times New Roman" w:hAnsi="Times New Roman" w:cs="Times New Roman"/>
                <w:iCs/>
              </w:rPr>
              <w:t xml:space="preserve">İzmir’in işgali, Millî Mücadele açısından bir dönüm noktası oldu. Çünkü o zamana kadar işgallerin geçici olacağını düşünen Türk milleti, vatanın elden gitmek üzere olduğunu anladı ve vatan savunmasını fiilen üstlendi. Harekete geçen Türk milleti önce direniş cemiyetleri ardından da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Millîye birlikleri oluşturarak vatanını savunmaya başladı. </w:t>
            </w:r>
          </w:p>
          <w:p w:rsidR="00D41BC5" w:rsidRPr="00927C3D" w:rsidRDefault="00D41BC5" w:rsidP="0027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D41BC5" w:rsidRPr="00140641" w:rsidRDefault="00277E75" w:rsidP="00D41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27C3D">
              <w:rPr>
                <w:rFonts w:ascii="Times New Roman" w:hAnsi="Times New Roman" w:cs="Times New Roman"/>
                <w:iCs/>
              </w:rPr>
              <w:t xml:space="preserve">Bir süre sonra Batı Anadolu’daki bütün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>-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Millîye birlikleri tek merkezden yönetilen düzenli bir orduya dönüştürüldü ve birliklerimiz Batı ve Güney Cepheleri olarak ikiye ayrıldı. Batı Cephesi Komutanlığına Albay İsmet Bey getirildi. Ancak “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>-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Seyyare” adıyla özel bir birlik oluşturmuş olan Çerkez Ethem, İsmet Bey’in komutası altına girmek istemedi. Bunun üzerine iki taraf arasında anlaşmazlık yaşandı. Bu anlaşmazlığı fırsata çevirmek isteyen Yunanlar, Ankara’ya kadar ilerleyip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BMM’yi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baskı altına almak ve Sevr Antlaşması’nı Meclise onaylatmak için Bursa’dan harekete geçtiler.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8A0838">
              <w:rPr>
                <w:rFonts w:ascii="Times New Roman" w:hAnsi="Times New Roman" w:cs="Times New Roman"/>
              </w:rPr>
              <w:t xml:space="preserve">MEB </w:t>
            </w:r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1-Batı cephesinde kimlerle mücadele ettik?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 xml:space="preserve">2-Kuvayı Milliye birlikleri neden kaldırılmıştır? 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3-I. İnönü Savaşının sonuçları nelerdir?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4-Londra Konferansının önemi nedir?</w:t>
            </w:r>
          </w:p>
          <w:p w:rsidR="00A2479A" w:rsidRPr="00140641" w:rsidRDefault="00A2479A" w:rsidP="00EB6A1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8A0838">
        <w:rPr>
          <w:rFonts w:ascii="Times New Roman" w:hAnsi="Times New Roman" w:cs="Times New Roman"/>
        </w:rPr>
        <w:t xml:space="preserve">        Gürsel AKPOLAT</w:t>
      </w:r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205"/>
    <w:rsid w:val="000900FC"/>
    <w:rsid w:val="000A74E8"/>
    <w:rsid w:val="000B0A48"/>
    <w:rsid w:val="000C2AF0"/>
    <w:rsid w:val="00140641"/>
    <w:rsid w:val="001B27AE"/>
    <w:rsid w:val="002316FC"/>
    <w:rsid w:val="00277E75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9529D"/>
    <w:rsid w:val="004A4C27"/>
    <w:rsid w:val="004B11F9"/>
    <w:rsid w:val="004D0D25"/>
    <w:rsid w:val="00510705"/>
    <w:rsid w:val="00566AA7"/>
    <w:rsid w:val="00584C6A"/>
    <w:rsid w:val="005B502D"/>
    <w:rsid w:val="005E5D7A"/>
    <w:rsid w:val="006133EB"/>
    <w:rsid w:val="00613F67"/>
    <w:rsid w:val="00652E01"/>
    <w:rsid w:val="0069312F"/>
    <w:rsid w:val="006C3579"/>
    <w:rsid w:val="006E2A7F"/>
    <w:rsid w:val="0072398D"/>
    <w:rsid w:val="00756159"/>
    <w:rsid w:val="007B5EB2"/>
    <w:rsid w:val="007D5458"/>
    <w:rsid w:val="00816985"/>
    <w:rsid w:val="00850764"/>
    <w:rsid w:val="00894491"/>
    <w:rsid w:val="008A0838"/>
    <w:rsid w:val="008D3B97"/>
    <w:rsid w:val="008E6130"/>
    <w:rsid w:val="008F7A56"/>
    <w:rsid w:val="00935121"/>
    <w:rsid w:val="00951BA4"/>
    <w:rsid w:val="00954E74"/>
    <w:rsid w:val="009808A8"/>
    <w:rsid w:val="009947A1"/>
    <w:rsid w:val="009A4001"/>
    <w:rsid w:val="00A2479A"/>
    <w:rsid w:val="00A27BBA"/>
    <w:rsid w:val="00A62D91"/>
    <w:rsid w:val="00A72FC2"/>
    <w:rsid w:val="00AB1558"/>
    <w:rsid w:val="00B43D00"/>
    <w:rsid w:val="00BC0CF8"/>
    <w:rsid w:val="00BD0343"/>
    <w:rsid w:val="00BD7B99"/>
    <w:rsid w:val="00BE6C60"/>
    <w:rsid w:val="00C209A0"/>
    <w:rsid w:val="00C52D9E"/>
    <w:rsid w:val="00C61686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F2295F"/>
    <w:rsid w:val="00FC7875"/>
    <w:rsid w:val="00FE2693"/>
    <w:rsid w:val="00FF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34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2024-12-21T04:57:00Z</dcterms:created>
  <dcterms:modified xsi:type="dcterms:W3CDTF">2024-12-21T04:57:00Z</dcterms:modified>
</cp:coreProperties>
</file>