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5189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E270D8">
              <w:rPr>
                <w:rFonts w:ascii="Times New Roman" w:hAnsi="Times New Roman" w:cs="Times New Roman"/>
              </w:rPr>
              <w:t xml:space="preserve"> Aralık</w:t>
            </w:r>
            <w:r w:rsidR="0018355C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E270D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270D8">
              <w:rPr>
                <w:rStyle w:val="fontstyle01"/>
                <w:sz w:val="22"/>
                <w:szCs w:val="22"/>
              </w:rPr>
              <w:t>AB.1.2.2. Deprem olayının afete dönüşmesinin nedenlerini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8" w:rsidRDefault="00830201" w:rsidP="00830201">
            <w:pPr>
              <w:pStyle w:val="NormalWeb"/>
              <w:numPr>
                <w:ilvl w:val="0"/>
                <w:numId w:val="41"/>
              </w:numP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Kazanıma devam edilir.</w:t>
            </w:r>
          </w:p>
          <w:p w:rsidR="00F003A0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afete dönüşme riski yüksek olan doğa kaynaklı olaylardan biridir. Deprem; gerekli önlemler alınmadığında toplumsal hayatta sosyal, ekonomik ve psikolojik bakımdan büyük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zararların meydana gelmesine yol açabilir. Bu nedenle birey ve toplum olarak deprem konusunda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bilgili ve bilinçli olmalıyız.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Meydana gelen her deprem aynı büyüklükte ve şiddette gerçekleşmez. Depremin büyüklüğü ile depremin şiddeti aynı anlama gelmemektedir. Depremin ortaya çıkardığı toplam enerjiyi belirten, aletsel ölçüm ve hesaplama sonucunda bulunan değere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deprem büyüklüğü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denir.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Örneğin "</w:t>
            </w:r>
            <w:proofErr w:type="gram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6.5</w:t>
            </w:r>
            <w:proofErr w:type="gram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ölçeğinde bir deprem oldu." denildiğinde depremin büyüklüğü ifade edilmiş olur.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 xml:space="preserve">Depremin büyüklüğü 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richter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rihter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) ölçeği ile belirtilir.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Richter ölçeği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dünyada meydan gelen depremlerin aletsel büyüklüklerini ve sarsıntı oranını belirleyen ve </w:t>
            </w:r>
            <w:proofErr w:type="spell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sını</w:t>
            </w:r>
            <w:proofErr w:type="spell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ﬂara ayıran uluslararası ölçü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birimidir.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doğa kaynaklı bir olay olmasına rağmen afete dönüşmesinde insan kaynaklı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etkenler daha belirleyicidir. Bu etkenleri azaltmanın depremin afete dönüşme riskini ve yol açabileceği zararları da azaltmak anlamına geleceğini unutmamalıyız.</w:t>
            </w:r>
          </w:p>
          <w:p w:rsidR="00E270D8" w:rsidRPr="003A68E6" w:rsidRDefault="00E270D8" w:rsidP="00E270D8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E270D8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E270D8">
              <w:rPr>
                <w:rStyle w:val="fontstyle01"/>
                <w:sz w:val="22"/>
                <w:szCs w:val="22"/>
              </w:rPr>
              <w:t>Depremin afete dönüşme nedenleri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5F2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5189F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E09EC"/>
    <w:rsid w:val="007E3D0D"/>
    <w:rsid w:val="007E3F6F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2024-12-14T14:42:00Z</dcterms:created>
  <dcterms:modified xsi:type="dcterms:W3CDTF">2024-12-14T14:42:00Z</dcterms:modified>
</cp:coreProperties>
</file>