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24941">
            <w:pPr>
              <w:tabs>
                <w:tab w:val="left" w:pos="56"/>
              </w:tabs>
              <w:spacing w:line="256" w:lineRule="auto"/>
              <w:ind w:left="84" w:hanging="14"/>
              <w:rPr>
                <w:rFonts w:ascii="Times New Roman" w:eastAsia="Times New Roman" w:hAnsi="Times New Roman" w:cs="Times New Roman"/>
              </w:rPr>
            </w:pPr>
            <w:r w:rsidRPr="00124941">
              <w:rPr>
                <w:rFonts w:ascii="Times New Roman" w:hAnsi="Times New Roman" w:cs="Times New Roman"/>
              </w:rPr>
              <w:t>4. ÜNİTE: 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24941"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8563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8B10E5">
              <w:rPr>
                <w:rFonts w:ascii="Times New Roman" w:hAnsi="Times New Roman" w:cs="Times New Roman"/>
              </w:rPr>
              <w:t xml:space="preserve"> </w:t>
            </w:r>
            <w:r w:rsidR="00B37D0F">
              <w:rPr>
                <w:rFonts w:ascii="Times New Roman" w:hAnsi="Times New Roman" w:cs="Times New Roman"/>
              </w:rPr>
              <w:t>Nisan</w:t>
            </w:r>
            <w:r w:rsidR="00FC3B69">
              <w:rPr>
                <w:rFonts w:ascii="Times New Roman" w:hAnsi="Times New Roman" w:cs="Times New Roman"/>
              </w:rPr>
              <w:t xml:space="preserve"> </w:t>
            </w:r>
            <w:r>
              <w:rPr>
                <w:rFonts w:ascii="Times New Roman" w:hAnsi="Times New Roman" w:cs="Times New Roman"/>
              </w:rPr>
              <w:t xml:space="preserve">3 Mayıs </w:t>
            </w:r>
            <w:r w:rsidR="0058175D">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85637" w:rsidP="000A2123">
            <w:pPr>
              <w:tabs>
                <w:tab w:val="left" w:pos="82"/>
              </w:tabs>
              <w:spacing w:after="0" w:line="256" w:lineRule="auto"/>
              <w:ind w:left="54" w:firstLine="2"/>
              <w:rPr>
                <w:rFonts w:ascii="Times New Roman" w:eastAsia="Arial" w:hAnsi="Times New Roman" w:cs="Times New Roman"/>
                <w:b/>
              </w:rPr>
            </w:pPr>
            <w:r w:rsidRPr="00F85637">
              <w:rPr>
                <w:rFonts w:ascii="Times New Roman" w:eastAsia="Arial" w:hAnsi="Times New Roman" w:cs="Times New Roman"/>
                <w:b/>
              </w:rPr>
              <w:t>TSHA.</w:t>
            </w:r>
            <w:proofErr w:type="gramStart"/>
            <w:r w:rsidRPr="00F85637">
              <w:rPr>
                <w:rFonts w:ascii="Times New Roman" w:eastAsia="Arial" w:hAnsi="Times New Roman" w:cs="Times New Roman"/>
                <w:b/>
              </w:rPr>
              <w:t>4.3</w:t>
            </w:r>
            <w:proofErr w:type="gramEnd"/>
            <w:r w:rsidRPr="00F85637">
              <w:rPr>
                <w:rFonts w:ascii="Times New Roman" w:eastAsia="Arial" w:hAnsi="Times New Roman" w:cs="Times New Roman"/>
                <w:b/>
              </w:rPr>
              <w:t>. Dijital platformların aile ilişkilerine etkilerini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85637" w:rsidRPr="00F85637" w:rsidRDefault="00F85637" w:rsidP="00F85637">
            <w:pPr>
              <w:spacing w:after="0" w:line="256" w:lineRule="auto"/>
              <w:rPr>
                <w:rFonts w:ascii="Times New Roman" w:eastAsia="Times New Roman" w:hAnsi="Times New Roman" w:cs="Times New Roman"/>
              </w:rPr>
            </w:pPr>
            <w:r w:rsidRPr="00F85637">
              <w:rPr>
                <w:rFonts w:ascii="Times New Roman" w:eastAsia="Times New Roman" w:hAnsi="Times New Roman" w:cs="Times New Roman"/>
              </w:rPr>
              <w:t>Dijital platformların, aile ilişkileri üzerinde bir dizi etkisi vardır:</w:t>
            </w:r>
          </w:p>
          <w:p w:rsidR="00F85637" w:rsidRPr="00F85637" w:rsidRDefault="00F85637" w:rsidP="00F85637">
            <w:pPr>
              <w:spacing w:after="0" w:line="256" w:lineRule="auto"/>
              <w:rPr>
                <w:rFonts w:ascii="Times New Roman" w:eastAsia="Times New Roman" w:hAnsi="Times New Roman" w:cs="Times New Roman"/>
              </w:rPr>
            </w:pPr>
          </w:p>
          <w:p w:rsidR="00F85637" w:rsidRPr="00F85637" w:rsidRDefault="00F85637" w:rsidP="00F85637">
            <w:pPr>
              <w:spacing w:after="0" w:line="256" w:lineRule="auto"/>
              <w:rPr>
                <w:rFonts w:ascii="Times New Roman" w:eastAsia="Times New Roman" w:hAnsi="Times New Roman" w:cs="Times New Roman"/>
              </w:rPr>
            </w:pPr>
            <w:r w:rsidRPr="00F85637">
              <w:rPr>
                <w:rFonts w:ascii="Times New Roman" w:eastAsia="Times New Roman" w:hAnsi="Times New Roman" w:cs="Times New Roman"/>
              </w:rPr>
              <w:t>İletişimi Kolaylaştırma: Dijital platformlar, aile bireylerinin birbirleriyle iletişim kurmasını kolaylaştırır. Özellikle uzak mesafelerde yaşayan aile üyeleri arasında iletişimi sürdürmek için telefon, video görüşmeleri, mesajlaşma uygulamaları gibi araçlar sıklıkla kullanılır.</w:t>
            </w:r>
          </w:p>
          <w:p w:rsidR="00F85637" w:rsidRPr="00F85637" w:rsidRDefault="00F85637" w:rsidP="00F85637">
            <w:pPr>
              <w:spacing w:after="0" w:line="256" w:lineRule="auto"/>
              <w:rPr>
                <w:rFonts w:ascii="Times New Roman" w:eastAsia="Times New Roman" w:hAnsi="Times New Roman" w:cs="Times New Roman"/>
              </w:rPr>
            </w:pPr>
            <w:r w:rsidRPr="00F85637">
              <w:rPr>
                <w:rFonts w:ascii="Times New Roman" w:eastAsia="Times New Roman" w:hAnsi="Times New Roman" w:cs="Times New Roman"/>
              </w:rPr>
              <w:t xml:space="preserve">Zaman ve </w:t>
            </w:r>
            <w:proofErr w:type="gramStart"/>
            <w:r w:rsidRPr="00F85637">
              <w:rPr>
                <w:rFonts w:ascii="Times New Roman" w:eastAsia="Times New Roman" w:hAnsi="Times New Roman" w:cs="Times New Roman"/>
              </w:rPr>
              <w:t>Mekan</w:t>
            </w:r>
            <w:proofErr w:type="gramEnd"/>
            <w:r w:rsidRPr="00F85637">
              <w:rPr>
                <w:rFonts w:ascii="Times New Roman" w:eastAsia="Times New Roman" w:hAnsi="Times New Roman" w:cs="Times New Roman"/>
              </w:rPr>
              <w:t xml:space="preserve"> Kısıtlamalarını Azaltma: Dijital platformlar sayesinde aile üyeleri, farklı zaman dilimlerinde veya farklı coğrafi konumlarda olsalar bile bir araya gelebilirler. Bu da aile üyelerinin birlikte vakit geçirmesine ve ilişkilerini sürdürmesine olanak tanır.</w:t>
            </w:r>
          </w:p>
          <w:p w:rsidR="00F85637" w:rsidRPr="00F85637" w:rsidRDefault="00F85637" w:rsidP="00F85637">
            <w:pPr>
              <w:spacing w:after="0" w:line="256" w:lineRule="auto"/>
              <w:rPr>
                <w:rFonts w:ascii="Times New Roman" w:eastAsia="Times New Roman" w:hAnsi="Times New Roman" w:cs="Times New Roman"/>
              </w:rPr>
            </w:pPr>
            <w:r w:rsidRPr="00F85637">
              <w:rPr>
                <w:rFonts w:ascii="Times New Roman" w:eastAsia="Times New Roman" w:hAnsi="Times New Roman" w:cs="Times New Roman"/>
              </w:rPr>
              <w:t>Paylaşımı Artırma: Sosyal medya platformları, aile üyelerinin birbirleriyle günlük yaşamlarını, fotoğraflarını, videolarını ve duygularını paylaşmalarını sağlar. Bu sayede aile üyeleri birbirlerinin hayatları hakkında bilgi sahibi olabilir ve ilişkilerini güçlendirebilirler.</w:t>
            </w:r>
          </w:p>
          <w:p w:rsidR="00F85637" w:rsidRPr="00F85637" w:rsidRDefault="00F85637" w:rsidP="00F85637">
            <w:pPr>
              <w:spacing w:after="0" w:line="256" w:lineRule="auto"/>
              <w:rPr>
                <w:rFonts w:ascii="Times New Roman" w:eastAsia="Times New Roman" w:hAnsi="Times New Roman" w:cs="Times New Roman"/>
              </w:rPr>
            </w:pPr>
            <w:r w:rsidRPr="00F85637">
              <w:rPr>
                <w:rFonts w:ascii="Times New Roman" w:eastAsia="Times New Roman" w:hAnsi="Times New Roman" w:cs="Times New Roman"/>
              </w:rPr>
              <w:t>Eğlence ve Bağlılık Oluşturma: Dijital oyunlar, çevrimiçi etkinlikler ve diğer eğlence platformları, aile üyeleri arasında ortak ilgi alanları oluşturarak bağlılığı artırabilir ve birlikte vakit geçirme fırsatları sunabilir.</w:t>
            </w:r>
          </w:p>
          <w:p w:rsidR="00F85637" w:rsidRPr="00F85637" w:rsidRDefault="00F85637" w:rsidP="00F85637">
            <w:pPr>
              <w:spacing w:after="0" w:line="256" w:lineRule="auto"/>
              <w:rPr>
                <w:rFonts w:ascii="Times New Roman" w:eastAsia="Times New Roman" w:hAnsi="Times New Roman" w:cs="Times New Roman"/>
              </w:rPr>
            </w:pPr>
            <w:r w:rsidRPr="00F85637">
              <w:rPr>
                <w:rFonts w:ascii="Times New Roman" w:eastAsia="Times New Roman" w:hAnsi="Times New Roman" w:cs="Times New Roman"/>
              </w:rPr>
              <w:t>İletişim Bozukluklarına Yol Açma: Sürekli dijital platformlarda vakit geçirmek, yüz yüze iletişimi azaltabilir ve aile üyeleri arasında duygusal bağları zayıflatabilir. Özellikle aşırı teknoloji kullanımı, aile içi iletişimde bozukluklara neden olabilir.</w:t>
            </w:r>
          </w:p>
          <w:p w:rsidR="00F85637" w:rsidRPr="00F85637" w:rsidRDefault="00F85637" w:rsidP="00F85637">
            <w:pPr>
              <w:spacing w:after="0" w:line="256" w:lineRule="auto"/>
              <w:rPr>
                <w:rFonts w:ascii="Times New Roman" w:eastAsia="Times New Roman" w:hAnsi="Times New Roman" w:cs="Times New Roman"/>
              </w:rPr>
            </w:pPr>
            <w:r w:rsidRPr="00F85637">
              <w:rPr>
                <w:rFonts w:ascii="Times New Roman" w:eastAsia="Times New Roman" w:hAnsi="Times New Roman" w:cs="Times New Roman"/>
              </w:rPr>
              <w:t>Mahremiyet ve Güvenlik Endişeleri: Dijital platformlar, mahremiyet ve güvenlik endişelerine yol açabilir. Aile üyeleri, çevrimiçi ortamda paylaştıkları bilgilerin gizliliğini korumak konusunda dikkatli olmalı ve çocukların internet kullanımını denetlemek için gerekli önlemleri almalıdır.</w:t>
            </w:r>
          </w:p>
          <w:p w:rsidR="00B06001" w:rsidRPr="001C1154" w:rsidRDefault="00F85637" w:rsidP="00F85637">
            <w:pPr>
              <w:spacing w:after="0" w:line="256" w:lineRule="auto"/>
              <w:rPr>
                <w:rFonts w:ascii="Times New Roman" w:eastAsia="Times New Roman" w:hAnsi="Times New Roman" w:cs="Times New Roman"/>
              </w:rPr>
            </w:pPr>
            <w:r w:rsidRPr="00F85637">
              <w:rPr>
                <w:rFonts w:ascii="Times New Roman" w:eastAsia="Times New Roman" w:hAnsi="Times New Roman" w:cs="Times New Roman"/>
              </w:rPr>
              <w:t>Sonuç olarak, dijital platformlar aile ilişkilerini hem olumlu hem de olumsuz yönde etkileyebilir. Ancak, bu platformların doğru şekilde kullanılması ve denge sağlanması durumunda, aile üyeleri arasındaki iletişimi güçlendirebilir ve ilişkileri destekleyebilir.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16173D" w:rsidP="0016173D">
            <w:pPr>
              <w:pStyle w:val="AralkYok"/>
              <w:rPr>
                <w:rFonts w:ascii="Times New Roman" w:hAnsi="Times New Roman" w:cs="Times New Roman"/>
              </w:rPr>
            </w:pPr>
            <w:r>
              <w:rPr>
                <w:rFonts w:ascii="Times New Roman" w:hAnsi="Times New Roman" w:cs="Times New Roman"/>
              </w:rPr>
              <w:t xml:space="preserve">1- </w:t>
            </w:r>
            <w:r w:rsidR="00B37D0F" w:rsidRPr="00B37D0F">
              <w:rPr>
                <w:rFonts w:ascii="Times New Roman" w:hAnsi="Times New Roman" w:cs="Times New Roman"/>
              </w:rPr>
              <w:t xml:space="preserve"> </w:t>
            </w:r>
            <w:r w:rsidR="00F85637">
              <w:t xml:space="preserve"> </w:t>
            </w:r>
            <w:r w:rsidR="00F85637" w:rsidRPr="00F85637">
              <w:rPr>
                <w:rFonts w:ascii="Times New Roman" w:hAnsi="Times New Roman" w:cs="Times New Roman"/>
              </w:rPr>
              <w:t>Dijital platformlar</w:t>
            </w:r>
            <w:r w:rsidR="00F85637">
              <w:rPr>
                <w:rFonts w:ascii="Times New Roman" w:hAnsi="Times New Roman" w:cs="Times New Roman"/>
              </w:rPr>
              <w:t>ın aile ilişkilerine etkileri nelerdir?</w:t>
            </w:r>
            <w:bookmarkStart w:id="0" w:name="_GoBack"/>
            <w:bookmarkEnd w:id="0"/>
            <w:r w:rsidR="00B37D0F" w:rsidRPr="00B37D0F">
              <w:rPr>
                <w:rFonts w:ascii="Times New Roman" w:hAnsi="Times New Roman" w:cs="Times New Roman"/>
              </w:rPr>
              <w:t xml:space="preserve"> </w:t>
            </w:r>
          </w:p>
          <w:p w:rsidR="001C1154" w:rsidRPr="005A4B04" w:rsidRDefault="001C1154" w:rsidP="0016173D">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1"/>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24941"/>
    <w:rsid w:val="001306C2"/>
    <w:rsid w:val="0016173D"/>
    <w:rsid w:val="00186F37"/>
    <w:rsid w:val="00191DE2"/>
    <w:rsid w:val="001A42D8"/>
    <w:rsid w:val="001B27AE"/>
    <w:rsid w:val="001C1154"/>
    <w:rsid w:val="001C15F2"/>
    <w:rsid w:val="001D325D"/>
    <w:rsid w:val="002239CC"/>
    <w:rsid w:val="00272536"/>
    <w:rsid w:val="00276BA3"/>
    <w:rsid w:val="00285C29"/>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146E3"/>
    <w:rsid w:val="0072398D"/>
    <w:rsid w:val="007267AC"/>
    <w:rsid w:val="00742C89"/>
    <w:rsid w:val="00747AC9"/>
    <w:rsid w:val="00756159"/>
    <w:rsid w:val="007865E1"/>
    <w:rsid w:val="007A0724"/>
    <w:rsid w:val="007A1A45"/>
    <w:rsid w:val="007B5EB2"/>
    <w:rsid w:val="007E3D0D"/>
    <w:rsid w:val="00850764"/>
    <w:rsid w:val="00856D90"/>
    <w:rsid w:val="00874AAF"/>
    <w:rsid w:val="00882152"/>
    <w:rsid w:val="00896BDA"/>
    <w:rsid w:val="008B10E5"/>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33D02"/>
    <w:rsid w:val="00B37D0F"/>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A5A10"/>
    <w:rsid w:val="00CA7FC4"/>
    <w:rsid w:val="00CC78DF"/>
    <w:rsid w:val="00D21BC4"/>
    <w:rsid w:val="00D2205F"/>
    <w:rsid w:val="00D3755C"/>
    <w:rsid w:val="00D75BED"/>
    <w:rsid w:val="00D80D1C"/>
    <w:rsid w:val="00D8166E"/>
    <w:rsid w:val="00D87A07"/>
    <w:rsid w:val="00DA7A3B"/>
    <w:rsid w:val="00DB1CAB"/>
    <w:rsid w:val="00DD36EE"/>
    <w:rsid w:val="00DE2D5C"/>
    <w:rsid w:val="00DF62AC"/>
    <w:rsid w:val="00E118D2"/>
    <w:rsid w:val="00E12A9D"/>
    <w:rsid w:val="00E130F9"/>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5553C"/>
    <w:rsid w:val="00F85637"/>
    <w:rsid w:val="00F87C0C"/>
    <w:rsid w:val="00F95279"/>
    <w:rsid w:val="00FB19AD"/>
    <w:rsid w:val="00FB78F5"/>
    <w:rsid w:val="00FC3B6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6B350-5599-4ED4-94EC-44760FE3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2024-04-25T01:27:00Z</dcterms:created>
  <dcterms:modified xsi:type="dcterms:W3CDTF">2024-04-25T01:27:00Z</dcterms:modified>
</cp:coreProperties>
</file>