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D47C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D47C2">
              <w:rPr>
                <w:rFonts w:ascii="Times New Roman" w:hAnsi="Times New Roman" w:cs="Times New Roman"/>
              </w:rPr>
              <w:t>BÜYÜK MİLLET MECLİSİNE KARŞI AYAKLANMALAR</w:t>
            </w:r>
            <w:bookmarkStart w:id="0" w:name="_GoBack"/>
            <w:bookmarkEnd w:id="0"/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7D4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>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1940AE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1940AE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Hıyanet-i Vataniye Kanunu çıkarılarak (29 Nisan 1920)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385622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 xml:space="preserve">2-BMM’ye kimler ayaklanmıştır? 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3-BMM ayaklanmaları bastırmak için hangi önlemleri almıştır?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D47C2"/>
    <w:rsid w:val="00B43D00"/>
    <w:rsid w:val="00B56512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2022-12-01T04:38:00Z</dcterms:created>
  <dcterms:modified xsi:type="dcterms:W3CDTF">2022-12-01T04:38:00Z</dcterms:modified>
</cp:coreProperties>
</file>